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D2BD" w14:textId="77777777" w:rsidR="00991425" w:rsidRDefault="00991425" w:rsidP="009914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Додаток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 листа Міністерства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освіти і науки України</w:t>
      </w:r>
      <w:r>
        <w:rPr>
          <w:rFonts w:ascii="Verdana" w:hAnsi="Verdana"/>
          <w:color w:val="2C2F34"/>
          <w:sz w:val="21"/>
          <w:szCs w:val="21"/>
        </w:rPr>
        <w:br/>
      </w:r>
      <w:hyperlink r:id="rId5" w:history="1">
        <w:r>
          <w:rPr>
            <w:rStyle w:val="a3"/>
            <w:rFonts w:ascii="Verdana" w:hAnsi="Verdana"/>
            <w:b/>
            <w:bCs/>
            <w:color w:val="D3170A"/>
            <w:sz w:val="21"/>
            <w:szCs w:val="21"/>
            <w:bdr w:val="none" w:sz="0" w:space="0" w:color="auto" w:frame="1"/>
            <w:shd w:val="clear" w:color="auto" w:fill="FFFFFF"/>
          </w:rPr>
          <w:t>від  01. 07. 2019 р. № 1/11-5966</w:t>
        </w:r>
      </w:hyperlink>
    </w:p>
    <w:p w14:paraId="3E1A6FFB" w14:textId="77777777" w:rsidR="00991425" w:rsidRDefault="00991425" w:rsidP="00991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746C96D" w14:textId="77777777" w:rsidR="00991425" w:rsidRDefault="00991425" w:rsidP="009914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Хімія</w:t>
      </w:r>
    </w:p>
    <w:p w14:paraId="11AA1AE4" w14:textId="77777777" w:rsidR="00991425" w:rsidRDefault="00991425" w:rsidP="00991425">
      <w:pPr>
        <w:spacing w:after="0" w:line="240" w:lineRule="auto"/>
        <w:ind w:left="5" w:right="5" w:firstLine="71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 хімії у закладах загальної середньої освіти у 2019/2020 навчальному році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здійснюватиметься за такими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навчальними програмами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</w:p>
    <w:p w14:paraId="45D64A76" w14:textId="77777777" w:rsidR="00991425" w:rsidRDefault="00991425" w:rsidP="00991425">
      <w:pPr>
        <w:spacing w:after="0" w:line="240" w:lineRule="auto"/>
        <w:ind w:left="6" w:right="6"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7 - 9 класи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Програма для загальноосвітніх навчальних закладів. Хімія. 7-9 класи, затверджена наказом МОН України від 07.06.2017 № 804. Програму розміщено на офіційному веб-сайті Міністерства (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https://goo.gl/GDh9gC</w:t>
        </w:r>
      </w:hyperlink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).</w:t>
      </w:r>
    </w:p>
    <w:p w14:paraId="48F35C18" w14:textId="77777777" w:rsidR="00991425" w:rsidRDefault="00991425" w:rsidP="00991425">
      <w:pPr>
        <w:spacing w:after="0" w:line="240" w:lineRule="auto"/>
        <w:ind w:left="6" w:right="6"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 – 9 класи з поглибленим вивченням хімії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Програма для загальноосвітніх навчальних закладів з поглибленим вивченням хімії, затверджена наказом МОН України від 17.07.2015 № 983. Програму розміщено на офіційному веб-сайті Міністерства (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https://goo.gl/GDh9gC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B20ECA5" w14:textId="77777777" w:rsidR="00991425" w:rsidRDefault="00991425" w:rsidP="009914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2018/2019 навчальному році у старшій школі починається перехід на навчальні програми, розроблені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відповідно до Державного стандарту базової і повної загальної середньої освіти, затвердженого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постановою Кабінету Міністрів України від 23.11.2011 № 1392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Тому 10 та 11 класи навчатимуться за різними програмами:</w:t>
      </w:r>
    </w:p>
    <w:p w14:paraId="79234D4E" w14:textId="77777777" w:rsidR="00991425" w:rsidRDefault="00991425" w:rsidP="00991425">
      <w:pPr>
        <w:spacing w:after="0" w:line="240" w:lineRule="auto"/>
        <w:ind w:left="6" w:right="6"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 – 11 класи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14:paraId="5A59A198" w14:textId="77777777" w:rsidR="00991425" w:rsidRDefault="00991425" w:rsidP="0099142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з хімії для 10–11 класів закладів загальної середньої освіти. Рівень стандарту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 xml:space="preserve"> (затверджена наказом МОН України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23.10.2017    № 1407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 xml:space="preserve"> розміщено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офіційному веб-сайті Міністерства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>(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https://goo.gl/fwh2BR</w:t>
        </w:r>
      </w:hyperlink>
      <w:r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>);</w:t>
      </w:r>
    </w:p>
    <w:p w14:paraId="3B993297" w14:textId="77777777" w:rsidR="00991425" w:rsidRDefault="00991425" w:rsidP="00991425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з хімії для 10–11 класів закладів загальної середньої освіти. Профільний рівень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 xml:space="preserve">(затверджена наказом МОН України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23.10.2017    № 1407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 xml:space="preserve"> розміщено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офіційному веб-сайті Міністерства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>(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https://goo.gl/fwh2BR</w:t>
        </w:r>
      </w:hyperlink>
      <w:r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>).</w:t>
      </w:r>
    </w:p>
    <w:p w14:paraId="7F3693AF" w14:textId="77777777" w:rsidR="00991425" w:rsidRDefault="00991425" w:rsidP="00991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позбавлені поурочного поділу. Вчитель може самостійно розподіляти навчальні години і визначати послідовність розкриття навчального матеріалу в межах окремої теми, але так, щоб не порушувалась логіка його викладу. </w:t>
      </w:r>
    </w:p>
    <w:p w14:paraId="6BCC8FB1" w14:textId="77777777" w:rsidR="00991425" w:rsidRDefault="00991425" w:rsidP="00991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Варіативна складова навчальних планів до типових освітніх програм може використовуватись на підсилення предметів інваріантної складової. У такому разі розподіл годин на вивчення тієї чи іншої теми навчальної програми здійснюється вчителем самостійно і фіксується у календарно-тематичному плані, який погоджується керівником навчального закладу чи його заступником. Вчитель записує проведені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сторінках класного журналу, відведених для навчального предмета, на підсилення якого використано зазначені години.</w:t>
      </w:r>
    </w:p>
    <w:p w14:paraId="21B16187" w14:textId="77777777" w:rsidR="00991425" w:rsidRDefault="00991425" w:rsidP="00991425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Одним із шляхів диференціації та індивідуалізації навчання є впровадження в шкільну практику системи курсів за вибором та факультативів, які реалізуються за рахунок варіативного компонента змісту освіти і доповнюють та поглиблюють зміст навчального предмета. </w:t>
      </w:r>
    </w:p>
    <w:p w14:paraId="2CF744FF" w14:textId="717D0EC8" w:rsidR="00991425" w:rsidRDefault="00991425" w:rsidP="00991425">
      <w:pPr>
        <w:widowControl w:val="0"/>
        <w:autoSpaceDE w:val="0"/>
        <w:autoSpaceDN w:val="0"/>
        <w:adjustRightInd w:val="0"/>
        <w:spacing w:after="0" w:line="240" w:lineRule="auto"/>
        <w:ind w:right="-83" w:firstLine="720"/>
        <w:contextualSpacing/>
        <w:jc w:val="both"/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lastRenderedPageBreak/>
        <w:t>Зміс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програ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курсі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виборо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факул</w:t>
      </w:r>
      <w:r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eastAsia="uk-UA"/>
        </w:rPr>
        <w:t>ь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тативі</w:t>
      </w:r>
      <w:r>
        <w:rPr>
          <w:rFonts w:ascii="Times New Roman" w:eastAsia="Times New Roman" w:hAnsi="Times New Roman" w:cs="Times New Roman"/>
          <w:w w:val="11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pacing w:val="35"/>
          <w:w w:val="11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spacing w:val="19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кількіст</w:t>
      </w:r>
      <w:r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ь</w:t>
      </w:r>
      <w:r>
        <w:rPr>
          <w:rFonts w:ascii="Times New Roman" w:eastAsia="Times New Roman" w:hAnsi="Times New Roman" w:cs="Times New Roman"/>
          <w:spacing w:val="34"/>
          <w:w w:val="109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годи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клас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яком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пропонуєтьс</w:t>
      </w:r>
      <w:r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pacing w:val="13"/>
          <w:w w:val="109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spacing w:val="2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вивчення</w:t>
      </w:r>
      <w:r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pacing w:val="12"/>
          <w:w w:val="109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spacing w:val="2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орієнтовним</w:t>
      </w:r>
      <w:r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pacing w:val="13"/>
          <w:w w:val="10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6"/>
          <w:w w:val="108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чител</w:t>
      </w:r>
      <w:r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pacing w:val="23"/>
          <w:w w:val="10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мож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уть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творчо підходит</w:t>
      </w:r>
      <w:r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pacing w:val="29"/>
          <w:w w:val="10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реалізаці</w:t>
      </w:r>
      <w:r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pacing w:val="29"/>
          <w:w w:val="109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зміст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ураховуюч</w:t>
      </w:r>
      <w:r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pacing w:val="21"/>
          <w:w w:val="10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кількіст</w:t>
      </w:r>
      <w:r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ь</w:t>
      </w:r>
      <w:r>
        <w:rPr>
          <w:rFonts w:ascii="Times New Roman" w:eastAsia="Times New Roman" w:hAnsi="Times New Roman" w:cs="Times New Roman"/>
          <w:spacing w:val="36"/>
          <w:w w:val="10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годи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 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ви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ділени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вивченн</w:t>
      </w:r>
      <w:r>
        <w:rPr>
          <w:rFonts w:ascii="Times New Roman" w:eastAsia="Times New Roman" w:hAnsi="Times New Roman" w:cs="Times New Roman"/>
          <w:w w:val="110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pacing w:val="32"/>
          <w:w w:val="11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вибором (факул</w:t>
      </w:r>
      <w:r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eastAsia="uk-UA"/>
        </w:rPr>
        <w:t>ь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тативу)</w:t>
      </w:r>
      <w:r>
        <w:rPr>
          <w:rFonts w:ascii="Times New Roman" w:eastAsia="Times New Roman" w:hAnsi="Times New Roman" w:cs="Times New Roman"/>
          <w:w w:val="11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pacing w:val="35"/>
          <w:w w:val="11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інтерес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eastAsia="uk-UA"/>
        </w:rPr>
        <w:t xml:space="preserve">здібності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учнів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pacing w:val="4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потреб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регіон</w:t>
      </w:r>
      <w:r>
        <w:rPr>
          <w:rFonts w:ascii="Times New Roman" w:eastAsia="Times New Roman" w:hAnsi="Times New Roman" w:cs="Times New Roman"/>
          <w:spacing w:val="-19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можливост</w:t>
      </w:r>
      <w:r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pacing w:val="21"/>
          <w:w w:val="10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навчально</w:t>
      </w:r>
      <w:r w:rsidR="00A95D56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матеріально</w:t>
      </w:r>
      <w:r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pacing w:val="14"/>
          <w:w w:val="10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закладу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uk-UA"/>
        </w:rPr>
        <w:t>Окре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розділ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запропоновани</w:t>
      </w:r>
      <w:r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spacing w:val="29"/>
          <w:w w:val="10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збірника</w:t>
      </w:r>
      <w:r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spacing w:val="29"/>
          <w:w w:val="109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програ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можут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>
        <w:rPr>
          <w:rFonts w:ascii="Times New Roman" w:eastAsia="Times New Roman" w:hAnsi="Times New Roman" w:cs="Times New Roman"/>
          <w:spacing w:val="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вивчатис</w:t>
      </w:r>
      <w:r>
        <w:rPr>
          <w:rFonts w:ascii="Times New Roman" w:eastAsia="Times New Roman" w:hAnsi="Times New Roman" w:cs="Times New Roman"/>
          <w:w w:val="110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pacing w:val="28"/>
          <w:w w:val="11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eastAsia="uk-UA"/>
        </w:rPr>
        <w:t>само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стійн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eastAsia="uk-UA"/>
        </w:rPr>
        <w:t>вибором.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Слі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 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зазначити</w:t>
      </w:r>
      <w:r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pacing w:val="6"/>
          <w:w w:val="109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pacing w:val="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навчальн</w:t>
      </w:r>
      <w:r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pacing w:val="14"/>
          <w:w w:val="10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програм</w:t>
      </w:r>
      <w:r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pacing w:val="7"/>
          <w:w w:val="10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курсі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pacing w:val="24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виборо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можн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використовуват</w:t>
      </w:r>
      <w:r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pacing w:val="32"/>
          <w:w w:val="109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тако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>
        <w:rPr>
          <w:rFonts w:ascii="Times New Roman" w:eastAsia="Times New Roman" w:hAnsi="Times New Roman" w:cs="Times New Roman"/>
          <w:spacing w:val="3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проведенн</w:t>
      </w:r>
      <w:r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pacing w:val="32"/>
          <w:w w:val="109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факул</w:t>
      </w:r>
      <w:r>
        <w:rPr>
          <w:rFonts w:ascii="Times New Roman" w:eastAsia="Times New Roman" w:hAnsi="Times New Roman" w:cs="Times New Roman"/>
          <w:spacing w:val="-14"/>
          <w:w w:val="109"/>
          <w:sz w:val="28"/>
          <w:szCs w:val="28"/>
          <w:lang w:eastAsia="uk-UA"/>
        </w:rPr>
        <w:t>ь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тативни</w:t>
      </w:r>
      <w:r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spacing w:val="43"/>
          <w:w w:val="109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занят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pacing w:val="3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навпаки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 xml:space="preserve">програми 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факул</w:t>
      </w:r>
      <w:r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eastAsia="uk-UA"/>
        </w:rPr>
        <w:t>ь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тативі</w:t>
      </w:r>
      <w:r>
        <w:rPr>
          <w:rFonts w:ascii="Times New Roman" w:eastAsia="Times New Roman" w:hAnsi="Times New Roman" w:cs="Times New Roman"/>
          <w:w w:val="11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pacing w:val="35"/>
          <w:w w:val="11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можн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використовуват</w:t>
      </w:r>
      <w:r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pacing w:val="34"/>
          <w:w w:val="109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pacing w:val="24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викладанн</w:t>
      </w:r>
      <w:r>
        <w:rPr>
          <w:rFonts w:ascii="Times New Roman" w:eastAsia="Times New Roman" w:hAnsi="Times New Roman" w:cs="Times New Roman"/>
          <w:w w:val="110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pacing w:val="33"/>
          <w:w w:val="11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курсі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eastAsia="uk-UA"/>
        </w:rPr>
        <w:t>вибором.</w:t>
      </w:r>
    </w:p>
    <w:p w14:paraId="251EB305" w14:textId="77777777" w:rsidR="00991425" w:rsidRDefault="00991425" w:rsidP="00991425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освітньому процесі заклади загальної середньої освіти можуть використовувати лише навчальну літературу, що має гриф МОН України або схвалена відповідною комісією Науково-методичної ради з питань освіти Міністерства освіти і науки України. Перелік цієї навчальної літератури постійно оновлюється, його розміщено за посиланням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https://goo.gl/TnGiJX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5C68C21" w14:textId="77777777" w:rsidR="00991425" w:rsidRDefault="00991425" w:rsidP="00991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Починаючи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2019/2020 навчального року, навчання хімії в 11 класі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закладів загальної середньої освіти здійснюватиметься за новими, розробленими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компетентнісних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засадах, навчальними програмами, які відповідають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Концепції реалізації державної політики у сфері реформування загальної середньої освіти «Нова українська школа».</w:t>
      </w:r>
    </w:p>
    <w:p w14:paraId="4CFA8223" w14:textId="77777777" w:rsidR="00991425" w:rsidRDefault="00991425" w:rsidP="0099142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 програми містять перелік очікуваних результатів навчання – це орієнтир вчителя на досягнення мети освітнього процесу на відповідному змісті зазначених тем програми. Така структура навчальної програми полегшить планування цілей і завдань уроків, дасть змогу виробити адекватні методичні підходи до проведення навчальних занять, поточного й тематичного оцінювання.</w:t>
      </w:r>
    </w:p>
    <w:p w14:paraId="415F62BD" w14:textId="77777777" w:rsidR="00991425" w:rsidRDefault="00991425" w:rsidP="0099142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Отже, основним завданням кожного уроку має стати досягнення певного результату навчання, тобто набуття, формування чи розвиток учнем визначених навчальною програмою умінь, навичок, ставлень, цінностей, зазначених у відповідному структурному складнику програми. А відтак мають змінитися підходи до конструювання і проведення навчальних занять. Від трансляції готових знань учитель має перейти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дозволять учням самостійно добувати знання у ході навчальної діяльності; формувати уміння їх застосовувати у різних ситуаціях, генерувати і продукувати ідеї або нові знання; висловлювати власну точку зору щодо певних процесів чи явищ тощо.</w:t>
      </w:r>
    </w:p>
    <w:p w14:paraId="035BC754" w14:textId="77777777" w:rsidR="00991425" w:rsidRDefault="00991425" w:rsidP="00991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новою навчальною програмою з хімії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11 класі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вивчатимуться неорганічні речовини й тема з узагальнення знань. </w:t>
      </w:r>
    </w:p>
    <w:p w14:paraId="72FA8CBF" w14:textId="77777777" w:rsidR="00991425" w:rsidRDefault="00991425" w:rsidP="00991425">
      <w:pPr>
        <w:spacing w:after="0" w:line="240" w:lineRule="auto"/>
        <w:ind w:firstLine="680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Рівень стандарту.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В 11 класі поглиблюються знання із загальної хімії і хімії неорганічних речовин, набуті в основній школі. Вивчається хімія неметалічних і металічних елементів згідно з будовою їхніх атомів та місцем у періодичній системі хімічних елементів. Послідовно вивчаються фізичні й хімічні властивості найважливіших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сполук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елементів (з якими учні зустрічаються у побуті, довкіллі), правила поводження з ними, одержання та використання їх.</w:t>
      </w:r>
    </w:p>
    <w:p w14:paraId="10F6742D" w14:textId="77777777" w:rsidR="00991425" w:rsidRDefault="00991425" w:rsidP="009914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Тема «Хімія і прогрес людства», якою закінчується курс хімії, має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lastRenderedPageBreak/>
        <w:t>узагальнювальний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характер. Розкривається роль хімії у створенні нових матеріалів, розвитку нових напрямів технологій, розв’язанні продовольчої, сировинної, енергетичної, екологічної проблем. Узагальнюються світоглядні питання щодо місця хімії поміж інших наук про природу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>.</w:t>
      </w:r>
    </w:p>
    <w:p w14:paraId="59D38E54" w14:textId="77777777" w:rsidR="00991425" w:rsidRDefault="00991425" w:rsidP="009914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Завершується вивчення хімії ознайомленням із зеленою хімією як новою філософією сучасного розвитку хімічної індустрії, наукових досліджень та світогляду молодого покоління хіміків. Її завдання –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uk-UA"/>
        </w:rPr>
        <w:t xml:space="preserve">допомогти людству у відборі таких вихідних матеріалів і схем технологічних процесів, які взагалі виключають використання будь-яких шкідливих вихідних речовин або їх утворення в процесі виробництва/використання хімічної продукції. </w:t>
      </w:r>
    </w:p>
    <w:p w14:paraId="24081E42" w14:textId="77777777" w:rsidR="00991425" w:rsidRDefault="00991425" w:rsidP="00991425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Звертаємо увагу, що відповідно до «Програми з хімії для 10–11 класів закладів загальної середньої освіти. Рівень стандарту» в 11 класі на рівні стандарту не передбачено розгляд питань щодо електронних та графічних електронних формул, валентних можливостей та ступенів окиснення d-елементів (окрім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Феруму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). Також програмою передбачено вивчення принципу роботи гальванічного елемента, проте електроліз не розглядається.</w:t>
      </w:r>
    </w:p>
    <w:p w14:paraId="667D9979" w14:textId="77777777" w:rsidR="00991425" w:rsidRDefault="00991425" w:rsidP="0099142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Профільний рівень.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Програмою передбачено підготовку учнів з хімії на рівні, що забезпечує наступність між загальною середньою та професійною освітою.</w:t>
      </w:r>
    </w:p>
    <w:p w14:paraId="7B75AC71" w14:textId="77777777" w:rsidR="00991425" w:rsidRDefault="00991425" w:rsidP="009914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З основної школи учні вже мають певні знання про неорганічні речовини, їхні основні класи, закономірності хімічних реакцій, розчини. Проте цих знань недостатньо для того, щоб розкрити особливості хімічних елементів та їхніх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сполук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, пояснити залежність між складом, будовою, властивостями, способами одержання і застосування речовин. Тому, перш ніж розпочати вивчення неорганічної хімії, програмою передбачено як повторення основних хімічних понять, так і поглиблення їх змісту й розширення обсягу, а також уведення деяких нових хімічних понять. Зміст програми складають три розділи.</w:t>
      </w:r>
    </w:p>
    <w:p w14:paraId="6C65640F" w14:textId="77777777" w:rsidR="00991425" w:rsidRDefault="00991425" w:rsidP="009914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Розділ 1 «Повторення та поглиблення найважливіших теоретичних питань курсу хімії основної школи» передбачає повторення і поглиблення знань: а) про будову атома за рахунок розгляду енергії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йонізації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та спорідненості до електрона, збудженого стану атома, електронної конфігурації атомів елементів ІV періоду Періодичної системи, ознайомлення з d-елементами; б) про будову речовини та окисно-відновні реакції, ознайомлення з їх типами, а також вивчення нового поняття “гідроліз солей”.</w:t>
      </w:r>
    </w:p>
    <w:p w14:paraId="08BC7AC7" w14:textId="77777777" w:rsidR="00991425" w:rsidRDefault="00991425" w:rsidP="009914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Розділи ІІ «Неметалічні елементи та їхні сполуки» і ІІІ «Металічні елементи та їхні сполуки» мають подібне структурування навчального матеріалу, що забезпечує однакову логічну послідовність розгляду всіх груп хімічних елементів за алгоритмом: положення елемента в періодичній системі – будова атома та його характеристики – будова простої речовини та її фізичні й хімічні властивості – склад, будова, фізичні та хімічні властивості найважливіших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сполук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– поширення у природі та біологічна роль елементів – добування і застосування, вплив елементів та їх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сполук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на організм людини і довкілля.</w:t>
      </w:r>
    </w:p>
    <w:p w14:paraId="41BEEA5A" w14:textId="77777777" w:rsidR="00991425" w:rsidRDefault="00991425" w:rsidP="009914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Способи промислового виробництва найважливіших неорганічних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lastRenderedPageBreak/>
        <w:t>речовин розглядаються на прикладах добування сульфатної кислоти, амоніаку, чавуну та сталі у відповідних темах, де вивчаються ці сполуки. Розглядаються основні наукові принципи виробництв, а також екологічні проблеми, що з ними пов’язані.</w:t>
      </w:r>
    </w:p>
    <w:p w14:paraId="5431522A" w14:textId="77777777" w:rsidR="00991425" w:rsidRDefault="00991425" w:rsidP="009914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 змісті курсу узагальнюються, поглиблюються та розширюються теоретичні знання учнів про хімічну реакцію. Так, вивченню промислового виробництва сульфатної кислоти передує опанування знань про хімічну рівновагу, які в подальшому використовуються і закріплюються під час вивчення виробництва амоніаку. У процесі розгляду способів добування металів вводиться поняття про електроліз розплавів і водних розчинів речовин.</w:t>
      </w:r>
    </w:p>
    <w:p w14:paraId="0329FC70" w14:textId="77777777" w:rsidR="00991425" w:rsidRDefault="00991425" w:rsidP="009914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Зміст розділу ІV «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Узагальнювальне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повторення найважливіших питань курсу хімії» присвячено систематизації та узагальненню знань про органічні й неорганічні речовини на спільній теоретичній основі. Матеріал структурується навколо трьох основних блоків знань – про речовину, хімічну реакцію та роль хімії у житті суспільства.</w:t>
      </w:r>
    </w:p>
    <w:p w14:paraId="7CC60CBB" w14:textId="77777777" w:rsidR="00991425" w:rsidRDefault="00991425" w:rsidP="009914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Організацією Об’єднаних націй 2019 рік оголошено Міжнародним роком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Періодичної таблиці хімічних елементів (IYPT2019) на відзнаку 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річниці створення цієї таблиці Дмитром Менделєєвим 1869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hyperlink r:id="rId11" w:tgtFrame="_blank" w:history="1"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lang w:eastAsia="ru-RU"/>
          </w:rPr>
          <w:t>https://en.unesco.org/comme</w:t>
        </w:r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lang w:eastAsia="ru-RU"/>
          </w:rPr>
          <w:t>m</w:t>
        </w:r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lang w:eastAsia="ru-RU"/>
          </w:rPr>
          <w:t>orations/iypt2019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З експозицією серії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різними мовами, включно з українською, які відображають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важливу роль хімії у нашому житті, історію відкриття, поширення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природі та використання елементів Періодичної таблиці та їхніх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можна ознайомитись за посиланням: </w:t>
      </w:r>
      <w:hyperlink r:id="rId12" w:tgtFrame="_blank" w:history="1"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lang w:eastAsia="ru-RU"/>
          </w:rPr>
          <w:t>http://www.ele</w:t>
        </w:r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lang w:eastAsia="ru-RU"/>
          </w:rPr>
          <w:t>m</w:t>
        </w:r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lang w:eastAsia="ru-RU"/>
          </w:rPr>
          <w:t>entsinyourlife.org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14:paraId="54E35D0B" w14:textId="77777777" w:rsidR="00991425" w:rsidRDefault="00991425" w:rsidP="00991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Інформуємо, що відповідно до графіку проведення всеукраїнського конкурсу «Учитель року» у 2019/2020 навчальному році проводитиметься конкурс у номінації «Хімія». </w:t>
      </w:r>
    </w:p>
    <w:p w14:paraId="31754A2F" w14:textId="77777777" w:rsidR="00991425" w:rsidRDefault="00991425" w:rsidP="009914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 увагу, що наказом Міністерства освіти і науки України від 26.06.2018 № 696 затверджено програми (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https://c</w:t>
        </w:r>
        <w:bookmarkStart w:id="0" w:name="_GoBack"/>
        <w:bookmarkEnd w:id="0"/>
        <w:r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u</w:t>
        </w:r>
        <w:r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tt.ly/TtEFPO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якими починаючи з 2020 року буде проводитися зовнішнє незалежне оцінювання результатів навчання, здобутих на основі повної загальної середньої освіти.</w:t>
      </w:r>
    </w:p>
    <w:p w14:paraId="2166D888" w14:textId="77777777" w:rsidR="008C0027" w:rsidRDefault="008C0027"/>
    <w:sectPr w:rsidR="008C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20AE0"/>
    <w:multiLevelType w:val="hybridMultilevel"/>
    <w:tmpl w:val="B608C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5B"/>
    <w:rsid w:val="008C0027"/>
    <w:rsid w:val="008D335B"/>
    <w:rsid w:val="00985311"/>
    <w:rsid w:val="00991425"/>
    <w:rsid w:val="00A83180"/>
    <w:rsid w:val="00A84AC5"/>
    <w:rsid w:val="00A95D56"/>
    <w:rsid w:val="00AB4743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E7B5"/>
  <w15:chartTrackingRefBased/>
  <w15:docId w15:val="{A09935E3-2E32-4C8F-9DAB-2CAC1409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4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4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5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wh2BR" TargetMode="External"/><Relationship Id="rId13" Type="http://schemas.openxmlformats.org/officeDocument/2006/relationships/hyperlink" Target="https://cutt.ly/TtEF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GDh9gC" TargetMode="External"/><Relationship Id="rId12" Type="http://schemas.openxmlformats.org/officeDocument/2006/relationships/hyperlink" Target="http://www.elementsinyourlif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GDh9gC" TargetMode="External"/><Relationship Id="rId11" Type="http://schemas.openxmlformats.org/officeDocument/2006/relationships/hyperlink" Target="https://en.unesco.org/commemorations/iypt2019" TargetMode="External"/><Relationship Id="rId5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o.gl/TnGiJ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wh2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2019-08-01T10:03:00Z</dcterms:created>
  <dcterms:modified xsi:type="dcterms:W3CDTF">2019-08-26T09:46:00Z</dcterms:modified>
</cp:coreProperties>
</file>